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56BFBCCA"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303102">
        <w:t>20</w:t>
      </w:r>
      <w:r w:rsidR="00A30105" w:rsidRPr="00455A3C">
        <w:t xml:space="preserve">. </w:t>
      </w:r>
      <w:r w:rsidR="00427801">
        <w:t>prosince</w:t>
      </w:r>
      <w:r w:rsidR="00A30105" w:rsidRPr="00455A3C">
        <w:t xml:space="preserve"> 20</w:t>
      </w:r>
      <w:r w:rsidR="00A7414F" w:rsidRPr="00455A3C">
        <w:t>21</w:t>
      </w:r>
    </w:p>
    <w:p w14:paraId="563CBE10" w14:textId="77777777" w:rsidR="00303102" w:rsidRPr="00303102" w:rsidRDefault="00303102" w:rsidP="00303102">
      <w:pPr>
        <w:spacing w:after="120"/>
        <w:rPr>
          <w:b/>
          <w:sz w:val="28"/>
          <w:szCs w:val="28"/>
        </w:rPr>
      </w:pPr>
      <w:r w:rsidRPr="00303102">
        <w:rPr>
          <w:b/>
          <w:sz w:val="28"/>
          <w:szCs w:val="28"/>
        </w:rPr>
        <w:t>Akciový výhled 2022: Na cestě k měkkému přistání</w:t>
      </w:r>
    </w:p>
    <w:p w14:paraId="3F3C08A3" w14:textId="6A96A8CA" w:rsidR="00303102" w:rsidRPr="000C702F" w:rsidRDefault="00303102" w:rsidP="00303102">
      <w:pPr>
        <w:spacing w:after="120"/>
        <w:rPr>
          <w:b/>
        </w:rPr>
      </w:pPr>
      <w:r w:rsidRPr="000C702F">
        <w:rPr>
          <w:b/>
        </w:rPr>
        <w:t xml:space="preserve">Rychlé oživení růstu zisků a výnosů na akciových trzích v uplynulém roce </w:t>
      </w:r>
      <w:r>
        <w:rPr>
          <w:b/>
        </w:rPr>
        <w:t>se musí jednou vyčerpat</w:t>
      </w:r>
      <w:r w:rsidRPr="000C702F">
        <w:rPr>
          <w:b/>
        </w:rPr>
        <w:t xml:space="preserve">. Tento proces začal a bude pokračovat </w:t>
      </w:r>
      <w:r>
        <w:rPr>
          <w:b/>
        </w:rPr>
        <w:t>i v</w:t>
      </w:r>
      <w:r w:rsidRPr="000C702F">
        <w:rPr>
          <w:b/>
        </w:rPr>
        <w:t xml:space="preserve"> ro</w:t>
      </w:r>
      <w:r>
        <w:rPr>
          <w:b/>
        </w:rPr>
        <w:t>ce</w:t>
      </w:r>
      <w:r w:rsidRPr="000C702F">
        <w:rPr>
          <w:b/>
        </w:rPr>
        <w:t xml:space="preserve"> 2022. Otázkou je, zda nás čeká měkké, nebo tvrdé přistání. V tuto chvíli se zdá, že měkké přistání je pro akcie pravděpodobnější, ale řada rizik by mohla trh </w:t>
      </w:r>
      <w:r>
        <w:rPr>
          <w:b/>
        </w:rPr>
        <w:t xml:space="preserve">dostat </w:t>
      </w:r>
      <w:r w:rsidRPr="000C702F">
        <w:rPr>
          <w:b/>
        </w:rPr>
        <w:t>do něčeho nepříjemnějšího. V</w:t>
      </w:r>
      <w:r>
        <w:rPr>
          <w:b/>
        </w:rPr>
        <w:t xml:space="preserve"> takové situaci </w:t>
      </w:r>
      <w:r w:rsidRPr="000C702F">
        <w:rPr>
          <w:b/>
        </w:rPr>
        <w:t>je klíčové mít robustní portfolio orientované na kvalitu.</w:t>
      </w:r>
    </w:p>
    <w:p w14:paraId="0E59C01F" w14:textId="586CB09B" w:rsidR="00303102" w:rsidRDefault="00303102" w:rsidP="00303102">
      <w:pPr>
        <w:spacing w:after="120"/>
        <w:rPr>
          <w:b/>
        </w:rPr>
      </w:pPr>
      <w:r w:rsidRPr="000C702F">
        <w:rPr>
          <w:b/>
        </w:rPr>
        <w:t>Bod</w:t>
      </w:r>
      <w:r>
        <w:rPr>
          <w:b/>
        </w:rPr>
        <w:t>u</w:t>
      </w:r>
      <w:r w:rsidRPr="000C702F">
        <w:rPr>
          <w:b/>
        </w:rPr>
        <w:t xml:space="preserve"> zlomu byl</w:t>
      </w:r>
      <w:r>
        <w:rPr>
          <w:b/>
        </w:rPr>
        <w:t>o</w:t>
      </w:r>
      <w:r w:rsidRPr="000C702F">
        <w:rPr>
          <w:b/>
        </w:rPr>
        <w:t xml:space="preserve"> dosažen</w:t>
      </w:r>
      <w:r>
        <w:rPr>
          <w:b/>
        </w:rPr>
        <w:t>o</w:t>
      </w:r>
    </w:p>
    <w:p w14:paraId="010B73DB" w14:textId="7959288E" w:rsidR="00303102" w:rsidRPr="000C702F" w:rsidRDefault="00303102" w:rsidP="00303102">
      <w:pPr>
        <w:spacing w:after="120"/>
      </w:pPr>
      <w:r w:rsidRPr="000C702F">
        <w:t xml:space="preserve">Ekonomická smršť v letech 2020 a 2021 </w:t>
      </w:r>
      <w:r>
        <w:t>s</w:t>
      </w:r>
      <w:r w:rsidRPr="000C702F">
        <w:t xml:space="preserve">tvořila svůj vlastní </w:t>
      </w:r>
      <w:r>
        <w:t xml:space="preserve">druh </w:t>
      </w:r>
      <w:r w:rsidRPr="000C702F">
        <w:t xml:space="preserve">cyklu: velmi krátký a prudký cyklus </w:t>
      </w:r>
      <w:r>
        <w:t xml:space="preserve">po </w:t>
      </w:r>
      <w:r w:rsidRPr="000C702F">
        <w:t>znovu</w:t>
      </w:r>
      <w:r>
        <w:t xml:space="preserve">otevření, který nastal v rámci </w:t>
      </w:r>
      <w:r w:rsidRPr="000C702F">
        <w:t>tradičního</w:t>
      </w:r>
      <w:r>
        <w:t xml:space="preserve"> a delšího hospodářského cyklu. Není jasné, jak se to protne</w:t>
      </w:r>
      <w:r w:rsidRPr="000C702F">
        <w:t xml:space="preserve"> v</w:t>
      </w:r>
      <w:r>
        <w:t> </w:t>
      </w:r>
      <w:r w:rsidRPr="000C702F">
        <w:t>průběhu</w:t>
      </w:r>
      <w:r>
        <w:t xml:space="preserve"> roku</w:t>
      </w:r>
      <w:r w:rsidRPr="000C702F">
        <w:t xml:space="preserve"> 2022. Většina </w:t>
      </w:r>
      <w:r>
        <w:t>rizik</w:t>
      </w:r>
      <w:r w:rsidRPr="000C702F">
        <w:t xml:space="preserve"> se však týká cyklu znovuotev</w:t>
      </w:r>
      <w:r>
        <w:t>írání ekonomik</w:t>
      </w:r>
      <w:r w:rsidRPr="000C702F">
        <w:t>.</w:t>
      </w:r>
    </w:p>
    <w:p w14:paraId="76C5BB20" w14:textId="1854DFD4" w:rsidR="00303102" w:rsidRDefault="00303102" w:rsidP="00303102">
      <w:r w:rsidRPr="00866978">
        <w:rPr>
          <w:i/>
          <w:iCs/>
        </w:rPr>
        <w:t xml:space="preserve">„Po prudkém oživení, které následovalo </w:t>
      </w:r>
      <w:r w:rsidR="00DE5661" w:rsidRPr="00866978">
        <w:rPr>
          <w:i/>
          <w:iCs/>
        </w:rPr>
        <w:t xml:space="preserve">po zrušení </w:t>
      </w:r>
      <w:r w:rsidRPr="00866978">
        <w:rPr>
          <w:i/>
          <w:iCs/>
        </w:rPr>
        <w:t>omezení a jemuž zpočátku napomáhala nízká srovnávací základna, musel růst nevyhnutelně zpomalit. Tohoto bodu zlomu bylo již dosaženo a v roce 2022 tomu nebude jinak. Domníváme se ale, že celkově směřuje spíše k měkkému než tvrdému přistání,“</w:t>
      </w:r>
      <w:r>
        <w:t xml:space="preserve"> vysvětluje </w:t>
      </w:r>
      <w:r w:rsidRPr="00303102">
        <w:t>Salman Ahmed, globální vedoucí oddělení Makro a strategické alokace aktiv, Fidelity International.</w:t>
      </w:r>
    </w:p>
    <w:p w14:paraId="3FD10323" w14:textId="01A8E8A9" w:rsidR="00303102" w:rsidRPr="00303102" w:rsidRDefault="00303102" w:rsidP="00303102">
      <w:pPr>
        <w:pStyle w:val="F2-zkladn"/>
      </w:pPr>
      <w:r>
        <w:rPr>
          <w:b/>
          <w:noProof/>
        </w:rPr>
        <w:drawing>
          <wp:anchor distT="0" distB="0" distL="114300" distR="114300" simplePos="0" relativeHeight="251659264" behindDoc="1" locked="0" layoutInCell="1" allowOverlap="1" wp14:anchorId="444A1248" wp14:editId="64E520FB">
            <wp:simplePos x="0" y="0"/>
            <wp:positionH relativeFrom="column">
              <wp:posOffset>668655</wp:posOffset>
            </wp:positionH>
            <wp:positionV relativeFrom="paragraph">
              <wp:posOffset>160020</wp:posOffset>
            </wp:positionV>
            <wp:extent cx="3412490" cy="3048000"/>
            <wp:effectExtent l="0" t="0" r="0" b="0"/>
            <wp:wrapTight wrapText="bothSides">
              <wp:wrapPolygon edited="0">
                <wp:start x="0" y="0"/>
                <wp:lineTo x="0" y="21465"/>
                <wp:lineTo x="21463" y="21465"/>
                <wp:lineTo x="214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jpg"/>
                    <pic:cNvPicPr/>
                  </pic:nvPicPr>
                  <pic:blipFill>
                    <a:blip r:embed="rId9">
                      <a:extLst>
                        <a:ext uri="{28A0092B-C50C-407E-A947-70E740481C1C}">
                          <a14:useLocalDpi xmlns:a14="http://schemas.microsoft.com/office/drawing/2010/main" val="0"/>
                        </a:ext>
                      </a:extLst>
                    </a:blip>
                    <a:stretch>
                      <a:fillRect/>
                    </a:stretch>
                  </pic:blipFill>
                  <pic:spPr>
                    <a:xfrm>
                      <a:off x="0" y="0"/>
                      <a:ext cx="3412490" cy="3048000"/>
                    </a:xfrm>
                    <a:prstGeom prst="rect">
                      <a:avLst/>
                    </a:prstGeom>
                  </pic:spPr>
                </pic:pic>
              </a:graphicData>
            </a:graphic>
            <wp14:sizeRelH relativeFrom="page">
              <wp14:pctWidth>0</wp14:pctWidth>
            </wp14:sizeRelH>
            <wp14:sizeRelV relativeFrom="page">
              <wp14:pctHeight>0</wp14:pctHeight>
            </wp14:sizeRelV>
          </wp:anchor>
        </w:drawing>
      </w:r>
    </w:p>
    <w:p w14:paraId="372D02A6" w14:textId="77777777" w:rsidR="00303102" w:rsidRDefault="00303102" w:rsidP="007238DA">
      <w:pPr>
        <w:spacing w:after="120"/>
        <w:rPr>
          <w:b/>
        </w:rPr>
      </w:pPr>
    </w:p>
    <w:p w14:paraId="1C02A350" w14:textId="77777777" w:rsidR="00303102" w:rsidRDefault="00303102" w:rsidP="007238DA">
      <w:pPr>
        <w:spacing w:after="120"/>
        <w:rPr>
          <w:b/>
        </w:rPr>
      </w:pPr>
    </w:p>
    <w:p w14:paraId="2F5114E1" w14:textId="77777777" w:rsidR="00303102" w:rsidRDefault="00303102" w:rsidP="007238DA">
      <w:pPr>
        <w:spacing w:after="120"/>
        <w:rPr>
          <w:b/>
        </w:rPr>
      </w:pPr>
    </w:p>
    <w:p w14:paraId="4E5D35D9" w14:textId="77777777" w:rsidR="00303102" w:rsidRDefault="00303102" w:rsidP="007238DA">
      <w:pPr>
        <w:spacing w:after="120"/>
        <w:rPr>
          <w:b/>
        </w:rPr>
      </w:pPr>
    </w:p>
    <w:p w14:paraId="1AEDA3C0" w14:textId="77777777" w:rsidR="00303102" w:rsidRDefault="00303102" w:rsidP="007238DA">
      <w:pPr>
        <w:spacing w:after="120"/>
        <w:rPr>
          <w:b/>
        </w:rPr>
      </w:pPr>
    </w:p>
    <w:p w14:paraId="572A6EA9" w14:textId="77777777" w:rsidR="00303102" w:rsidRDefault="00303102" w:rsidP="007238DA">
      <w:pPr>
        <w:spacing w:after="120"/>
        <w:rPr>
          <w:b/>
        </w:rPr>
      </w:pPr>
    </w:p>
    <w:p w14:paraId="7842654D" w14:textId="77777777" w:rsidR="00303102" w:rsidRDefault="00303102" w:rsidP="007238DA">
      <w:pPr>
        <w:spacing w:after="120"/>
        <w:rPr>
          <w:b/>
        </w:rPr>
      </w:pPr>
    </w:p>
    <w:p w14:paraId="634B9DBF" w14:textId="77777777" w:rsidR="00303102" w:rsidRDefault="00303102" w:rsidP="007238DA">
      <w:pPr>
        <w:spacing w:after="120"/>
        <w:rPr>
          <w:b/>
        </w:rPr>
      </w:pPr>
    </w:p>
    <w:p w14:paraId="0E5DD17F" w14:textId="77777777" w:rsidR="00303102" w:rsidRDefault="00303102" w:rsidP="007238DA">
      <w:pPr>
        <w:spacing w:after="120"/>
        <w:rPr>
          <w:b/>
        </w:rPr>
      </w:pPr>
    </w:p>
    <w:p w14:paraId="6C1B8231" w14:textId="77777777" w:rsidR="00DE5661" w:rsidRDefault="00DE5661" w:rsidP="007238DA">
      <w:pPr>
        <w:spacing w:after="120"/>
        <w:rPr>
          <w:b/>
        </w:rPr>
      </w:pPr>
    </w:p>
    <w:p w14:paraId="0C7A8B1F" w14:textId="21EAFE77" w:rsidR="007238DA" w:rsidRPr="003F7B14" w:rsidRDefault="00DE5661" w:rsidP="007238DA">
      <w:pPr>
        <w:spacing w:after="120"/>
        <w:rPr>
          <w:b/>
        </w:rPr>
      </w:pPr>
      <w:r>
        <w:rPr>
          <w:b/>
        </w:rPr>
        <w:lastRenderedPageBreak/>
        <w:t>Řada rizik</w:t>
      </w:r>
    </w:p>
    <w:p w14:paraId="35163B02" w14:textId="27630664" w:rsidR="00E92149" w:rsidRDefault="00DE5661" w:rsidP="00CE2A97">
      <w:pPr>
        <w:spacing w:after="120"/>
      </w:pPr>
      <w:r>
        <w:t>Hlavními riziky nyní</w:t>
      </w:r>
      <w:r w:rsidRPr="009F600B">
        <w:t xml:space="preserve"> </w:t>
      </w:r>
      <w:r>
        <w:t>jsou: pomalejší růst zisků, vyšší inflace a úrokové sazby, narušení dodavatelských řetězců, vysoká úroveň zadlužení a regulační bouře v Číně. Některá z těchto rizik mají spíše přechodný charakter, zatímco jiná mají potenciál stát se strukturálními problémy. Například silná poptávka po některém zboží a službách vyvolaná otevřením ekonomiky a narušením dodavatelských řetězců je spíše přechodná, avšak mzdová inflace a politika v oblasti změny klimatu se mohou stát dlouhodobými hnacími motory inflace.</w:t>
      </w:r>
    </w:p>
    <w:p w14:paraId="05A2D352" w14:textId="2C06739A" w:rsidR="00DE5661" w:rsidRDefault="00DE5661" w:rsidP="00DE5661">
      <w:pPr>
        <w:spacing w:after="120"/>
      </w:pPr>
      <w:r>
        <w:t>Covid-19 se mění v trvalejší brzdu růstu; vakcíny se ukazují jako účinně omezující vazbu mezi počtem nakažených a počtem hospitalizací, ale šíření nezastaví úplně – virus tu s námi zůstane. Avšak s tím, jak se zpomaluje šíření, se začíná snižovat fiskální podpora.</w:t>
      </w:r>
    </w:p>
    <w:p w14:paraId="3F1B3AB6" w14:textId="77777777" w:rsidR="00E0292B" w:rsidRDefault="00E0292B" w:rsidP="00E0292B">
      <w:pPr>
        <w:spacing w:after="120"/>
      </w:pPr>
      <w:r>
        <w:t>Proces opouštění akomodativní politiky bude pro většinu centrálních bank včetně Federálního rezervního systému znamenat opatrné balancování, přičemž důvěryhodnost všech kroků bude pravidelně testována trhem. Investoři budou muset posoudit závazek Fedu k jeho novému rámci flexibilního cílování průměrné inflace (FAIT), pokud budou ceny nadále stoupat</w:t>
      </w:r>
      <w:r w:rsidRPr="007F1B11">
        <w:rPr>
          <w:i/>
          <w:iCs/>
        </w:rPr>
        <w:t>. „Očekáváme, že úrokové sazby po celém světě po celý rok 2022 porostou, ale pro akcie by to nemělo představovat příliš velký problém, pokud zůstaneme ve světě historicky nízkých - a záporných - reálných výnosů a nízkých nominálních sazeb,“</w:t>
      </w:r>
      <w:r>
        <w:t xml:space="preserve"> dodává </w:t>
      </w:r>
      <w:r w:rsidRPr="00E0292B">
        <w:t>Salman Ahmed.</w:t>
      </w:r>
    </w:p>
    <w:p w14:paraId="3A5F2ED4" w14:textId="54999A7F" w:rsidR="00E0292B" w:rsidRDefault="00E0292B" w:rsidP="00E0292B">
      <w:pPr>
        <w:spacing w:after="120"/>
      </w:pPr>
      <w:r>
        <w:t>Větší rizika pro akciové trhy představují vysoké valuace a úzká skupina firem, které táhnou trh. Ceny, za které se jejich akcie obchodují, jsou vysoké, ale vzhledem k omezeným možnostem ne</w:t>
      </w:r>
      <w:r w:rsidR="000E7418">
        <w:t>jsou</w:t>
      </w:r>
      <w:r>
        <w:t xml:space="preserve"> bezprecedentní. Valuace se u několika ukazatelů blíží horní hranici, což by mohlo vybízet ke korekci. Trh je však tažen malou skupinou akcií a jakékoli oslabení sentimentu by mohlo vést k obratu na úkor známých firem, které mají největší tržní kapitalizaci.</w:t>
      </w:r>
    </w:p>
    <w:p w14:paraId="04DD0AF6" w14:textId="3C482218" w:rsidR="000E7418" w:rsidRDefault="000E7418" w:rsidP="000E7418">
      <w:pPr>
        <w:spacing w:after="120"/>
      </w:pPr>
      <w:r w:rsidRPr="005A2203">
        <w:rPr>
          <w:i/>
          <w:iCs/>
        </w:rPr>
        <w:t xml:space="preserve">„Investoři by také měli monitorovat vývoj v Číně. Ta nejenže je sama o sobě velkým trhem, ale mezi prvními zaváděla a posléze rušila lockdowny, a také jako první velký trh projevila známky jisté ziskové únavy. Její výkonnost v nadcházejících měsících může naznačit, jak se bude vyvíjet situace na rozvinutých trzích,“ </w:t>
      </w:r>
      <w:r>
        <w:t xml:space="preserve">poukazuje </w:t>
      </w:r>
      <w:r w:rsidRPr="000E7418">
        <w:t>Salman Ahmed.</w:t>
      </w:r>
    </w:p>
    <w:p w14:paraId="505EC64D" w14:textId="223EA721" w:rsidR="000E7418" w:rsidRDefault="00715F45" w:rsidP="000E7418">
      <w:pPr>
        <w:spacing w:after="120"/>
      </w:pPr>
      <w:r>
        <w:rPr>
          <w:noProof/>
        </w:rPr>
        <w:drawing>
          <wp:anchor distT="0" distB="0" distL="114300" distR="114300" simplePos="0" relativeHeight="251660288" behindDoc="0" locked="0" layoutInCell="1" allowOverlap="1" wp14:anchorId="694E3A49" wp14:editId="76A3000B">
            <wp:simplePos x="0" y="0"/>
            <wp:positionH relativeFrom="margin">
              <wp:posOffset>-1270</wp:posOffset>
            </wp:positionH>
            <wp:positionV relativeFrom="paragraph">
              <wp:posOffset>312420</wp:posOffset>
            </wp:positionV>
            <wp:extent cx="5759450" cy="2281555"/>
            <wp:effectExtent l="0" t="0" r="0" b="444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 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281555"/>
                    </a:xfrm>
                    <a:prstGeom prst="rect">
                      <a:avLst/>
                    </a:prstGeom>
                  </pic:spPr>
                </pic:pic>
              </a:graphicData>
            </a:graphic>
          </wp:anchor>
        </w:drawing>
      </w:r>
      <w:r w:rsidR="000E7418">
        <w:t>Forwardové ocenění: nastaveno na dokonalost?</w:t>
      </w:r>
    </w:p>
    <w:p w14:paraId="0119494C" w14:textId="19385C6E" w:rsidR="000E7418" w:rsidRPr="000E7418" w:rsidRDefault="000E7418" w:rsidP="000E7418">
      <w:pPr>
        <w:pStyle w:val="F2-zkladn"/>
      </w:pPr>
    </w:p>
    <w:p w14:paraId="258F9FD7" w14:textId="77777777" w:rsidR="00715F45" w:rsidRPr="00D03C6C" w:rsidRDefault="00715F45" w:rsidP="00715F45">
      <w:pPr>
        <w:spacing w:after="120"/>
        <w:rPr>
          <w:b/>
        </w:rPr>
      </w:pPr>
      <w:r w:rsidRPr="00D03C6C">
        <w:rPr>
          <w:b/>
        </w:rPr>
        <w:lastRenderedPageBreak/>
        <w:t>Test udržitelnosti</w:t>
      </w:r>
    </w:p>
    <w:p w14:paraId="694DAD17" w14:textId="37826C2C" w:rsidR="00715F45" w:rsidRDefault="00725052" w:rsidP="00715F45">
      <w:pPr>
        <w:spacing w:after="120"/>
      </w:pPr>
      <w:r w:rsidRPr="005A2203">
        <w:rPr>
          <w:i/>
          <w:iCs/>
        </w:rPr>
        <w:t>„</w:t>
      </w:r>
      <w:r w:rsidR="00715F45" w:rsidRPr="005A2203">
        <w:rPr>
          <w:i/>
          <w:iCs/>
        </w:rPr>
        <w:t>Udržitelnost bude v roce 2022 testem pro velkou část trhu. Vzhledem ke zvýšeným cenám komodit zaznamenáme pravděpodobně horší výkonnost společností s vysokým indexem ESG a pokušení těžit z vysokých ce</w:t>
      </w:r>
      <w:r w:rsidRPr="005A2203">
        <w:rPr>
          <w:i/>
          <w:iCs/>
        </w:rPr>
        <w:t>n energií na úkor udržitelnosti,“</w:t>
      </w:r>
      <w:r>
        <w:t xml:space="preserve"> dodává </w:t>
      </w:r>
      <w:r w:rsidRPr="000E7418">
        <w:t>Salman Ahmed</w:t>
      </w:r>
      <w:r>
        <w:t>.</w:t>
      </w:r>
    </w:p>
    <w:p w14:paraId="63F64077" w14:textId="77777777" w:rsidR="00715F45" w:rsidRDefault="00715F45" w:rsidP="00715F45">
      <w:pPr>
        <w:spacing w:after="120"/>
      </w:pPr>
      <w:r>
        <w:t>Investoři si v rámci energetického sektoru vybírají lepší provozovatele nebo ty, co vykazují největší potenciál k přechodu na uhlíkovou neutralitu. Jejich přítomnost často podporuje pozitivní chování podniků a zároveň brání disbalancím v energetickém portfoliu s koncentrovanými riziky. Tento přístup je rovněž dobrým doplňkem investiční strategie „bottom-up“ (tedy zespodu nahoru).</w:t>
      </w:r>
    </w:p>
    <w:p w14:paraId="003F35D7" w14:textId="77777777" w:rsidR="00431E52" w:rsidRDefault="00431E52" w:rsidP="00431E52">
      <w:pPr>
        <w:spacing w:after="120"/>
        <w:rPr>
          <w:b/>
        </w:rPr>
      </w:pPr>
      <w:r w:rsidRPr="00D03C6C">
        <w:rPr>
          <w:b/>
        </w:rPr>
        <w:t>Budování o</w:t>
      </w:r>
      <w:r>
        <w:rPr>
          <w:b/>
        </w:rPr>
        <w:t>dolných</w:t>
      </w:r>
      <w:r w:rsidRPr="00D03C6C">
        <w:rPr>
          <w:b/>
        </w:rPr>
        <w:t xml:space="preserve"> portfolií</w:t>
      </w:r>
    </w:p>
    <w:p w14:paraId="3E291048" w14:textId="2D1F5C19" w:rsidR="00725052" w:rsidRDefault="00431E52" w:rsidP="00E932CE">
      <w:pPr>
        <w:spacing w:after="120"/>
      </w:pPr>
      <w:r>
        <w:t xml:space="preserve">Nejpravděpodobnějším scénářem v roce 2022 </w:t>
      </w:r>
      <w:r w:rsidR="00725052">
        <w:t xml:space="preserve">pro akcie </w:t>
      </w:r>
      <w:r>
        <w:t>bude měkké přistání. Nicméně vzhledem k souběhu rizik považuje Fidelity International za rozumné budovat robustnější, spíše kvalitní portfolia, s omezeným pákovým efektem a nepříliš velkou expozicí vůči Číně. Existuje větší než obvyklé riziko zklamání, takže</w:t>
      </w:r>
      <w:r w:rsidR="00725052">
        <w:t xml:space="preserve"> FI</w:t>
      </w:r>
      <w:r>
        <w:t xml:space="preserve"> doporučuj</w:t>
      </w:r>
      <w:r w:rsidR="00725052">
        <w:t>e</w:t>
      </w:r>
      <w:r>
        <w:t xml:space="preserve"> vyhnout se regionům, které jsou dokonale oceněny a jsou hodně závislé na růstu.</w:t>
      </w:r>
    </w:p>
    <w:p w14:paraId="1CC900A3" w14:textId="77777777" w:rsidR="00E932CE" w:rsidRPr="00E932CE" w:rsidRDefault="00E932CE" w:rsidP="00E932CE">
      <w:pPr>
        <w:pStyle w:val="F2-zkladn"/>
      </w:pPr>
    </w:p>
    <w:p w14:paraId="277BA5CD" w14:textId="77777777" w:rsidR="00725052" w:rsidRPr="00BC4EF0" w:rsidRDefault="00725052" w:rsidP="00725052">
      <w:pPr>
        <w:spacing w:line="240" w:lineRule="auto"/>
      </w:pPr>
      <w:r w:rsidRPr="00455A3C">
        <w:rPr>
          <w:b/>
        </w:rPr>
        <w:t>Pro více informací kontaktujte:</w:t>
      </w:r>
    </w:p>
    <w:p w14:paraId="4D946650" w14:textId="77777777" w:rsidR="00725052" w:rsidRPr="00455A3C" w:rsidRDefault="00725052" w:rsidP="00725052">
      <w:pPr>
        <w:spacing w:before="0" w:line="360" w:lineRule="auto"/>
        <w:rPr>
          <w:b/>
        </w:rPr>
      </w:pPr>
    </w:p>
    <w:p w14:paraId="5125F7C8" w14:textId="77777777"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E932CE"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099D75FB" w14:textId="77777777" w:rsidR="00725052" w:rsidRPr="00455A3C" w:rsidRDefault="00725052" w:rsidP="00725052">
      <w:pPr>
        <w:spacing w:before="0" w:line="240" w:lineRule="atLeast"/>
      </w:pPr>
      <w:r w:rsidRPr="00455A3C">
        <w:rPr>
          <w:color w:val="000000"/>
        </w:rPr>
        <w:t xml:space="preserve">e-mail: </w:t>
      </w:r>
      <w:hyperlink r:id="rId11" w:history="1">
        <w:r w:rsidRPr="00E23FD4">
          <w:rPr>
            <w:rStyle w:val="Hypertextovodkaz"/>
          </w:rPr>
          <w:t>eliska.krohova@crestcom.cz</w:t>
        </w:r>
      </w:hyperlink>
    </w:p>
    <w:p w14:paraId="38BA7D0F" w14:textId="77777777" w:rsidR="00E92149" w:rsidRPr="00FD7966" w:rsidRDefault="00E92149" w:rsidP="00E92149">
      <w:pPr>
        <w:rPr>
          <w:b/>
          <w:bCs/>
        </w:rPr>
      </w:pPr>
      <w:r w:rsidRPr="00FD7966">
        <w:rPr>
          <w:b/>
          <w:bCs/>
        </w:rPr>
        <w:t>Důležité upozornění</w:t>
      </w:r>
    </w:p>
    <w:p w14:paraId="079DAFDC" w14:textId="77777777" w:rsidR="00431E52" w:rsidRPr="00F13311" w:rsidRDefault="00431E52" w:rsidP="00431E52">
      <w:pPr>
        <w:pStyle w:val="Normlnweb"/>
        <w:shd w:val="clear" w:color="auto" w:fill="FFFFFF"/>
        <w:spacing w:before="0"/>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Tento dokument nesmí být bez předchozího souhlasu rozmnožován nebo rozšiřován. </w:t>
      </w:r>
    </w:p>
    <w:p w14:paraId="1BAD54A0" w14:textId="77777777" w:rsidR="00431E52" w:rsidRDefault="00431E52" w:rsidP="00431E52">
      <w:pPr>
        <w:pStyle w:val="Normlnweb"/>
        <w:shd w:val="clear" w:color="auto" w:fill="FFFFFF"/>
        <w:spacing w:before="0"/>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Fidelity International poskytuje informace pouze o svých produktech a neposkytuje investiční poradenství na základě individuálních potřeb, jinak než konkrétně řádně stanovené oprávněnou společností při formální komunikaci s klientem. </w:t>
      </w:r>
    </w:p>
    <w:p w14:paraId="5FE191EB" w14:textId="77777777" w:rsidR="001B2BE9" w:rsidRDefault="00431E52" w:rsidP="00431E52">
      <w:pPr>
        <w:pStyle w:val="Normlnweb"/>
        <w:shd w:val="clear" w:color="auto" w:fill="FFFFFF"/>
        <w:spacing w:before="0"/>
        <w:rPr>
          <w:rFonts w:asciiTheme="minorHAnsi" w:eastAsiaTheme="minorHAnsi" w:hAnsiTheme="minorHAnsi" w:cstheme="minorBidi"/>
          <w:lang w:eastAsia="en-US"/>
        </w:rPr>
      </w:pPr>
      <w:r>
        <w:rPr>
          <w:rFonts w:asciiTheme="minorHAnsi" w:eastAsiaTheme="minorHAnsi" w:hAnsiTheme="minorHAnsi" w:cstheme="minorBidi"/>
          <w:lang w:eastAsia="en-US"/>
        </w:rPr>
        <w:br/>
      </w:r>
      <w:r w:rsidRPr="00F13311">
        <w:rPr>
          <w:rFonts w:asciiTheme="minorHAnsi" w:eastAsiaTheme="minorHAnsi" w:hAnsiTheme="minorHAnsi" w:cstheme="minorBidi"/>
          <w:lang w:eastAsia="en-US"/>
        </w:rPr>
        <w:t xml:space="preserve">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0DD72809" w14:textId="6BA7CEEB" w:rsidR="00431E52" w:rsidRPr="00F13311" w:rsidRDefault="00431E52" w:rsidP="00431E52">
      <w:pPr>
        <w:pStyle w:val="Normlnweb"/>
        <w:shd w:val="clear" w:color="auto" w:fill="FFFFFF"/>
        <w:spacing w:before="0"/>
        <w:rPr>
          <w:rFonts w:asciiTheme="minorHAnsi" w:eastAsiaTheme="minorHAnsi" w:hAnsiTheme="minorHAnsi" w:cstheme="minorBidi"/>
          <w:lang w:eastAsia="en-US"/>
        </w:rPr>
      </w:pPr>
      <w:r>
        <w:rPr>
          <w:rFonts w:asciiTheme="minorHAnsi" w:eastAsiaTheme="minorHAnsi" w:hAnsiTheme="minorHAnsi" w:cstheme="minorBidi"/>
          <w:lang w:eastAsia="en-US"/>
        </w:rPr>
        <w:br/>
      </w:r>
      <w:r w:rsidRPr="00F13311">
        <w:rPr>
          <w:rFonts w:asciiTheme="minorHAnsi" w:eastAsiaTheme="minorHAnsi" w:hAnsiTheme="minorHAnsi" w:cstheme="minorBidi"/>
          <w:lang w:eastAsia="en-US"/>
        </w:rPr>
        <w:t>Všechny názory představují stanoviska společnosti Fidelity, není-li uvedeno jinak. Fidelity, Fidelity International a logo Fidelity International a symbol měny F jsou všechno ochrannými známkami společnosti FIL Limited.</w:t>
      </w:r>
      <w:r>
        <w:rPr>
          <w:rFonts w:asciiTheme="minorHAnsi" w:eastAsiaTheme="minorHAnsi" w:hAnsiTheme="minorHAnsi" w:cstheme="minorBidi"/>
          <w:lang w:eastAsia="en-US"/>
        </w:rPr>
        <w:br/>
      </w:r>
    </w:p>
    <w:p w14:paraId="3B9700F7" w14:textId="790D192E" w:rsidR="001B2BE9" w:rsidRDefault="00725052" w:rsidP="00431E52">
      <w:pPr>
        <w:pStyle w:val="Normlnweb"/>
        <w:shd w:val="clear" w:color="auto" w:fill="FFFFFF"/>
        <w:spacing w:before="0"/>
        <w:rPr>
          <w:rFonts w:asciiTheme="minorHAnsi" w:eastAsiaTheme="minorHAnsi" w:hAnsiTheme="minorHAnsi" w:cstheme="minorBidi"/>
          <w:lang w:eastAsia="en-US"/>
        </w:rPr>
      </w:pPr>
      <w:r>
        <w:rPr>
          <w:rFonts w:asciiTheme="minorHAnsi" w:eastAsiaTheme="minorHAnsi" w:hAnsiTheme="minorHAnsi" w:cstheme="minorBidi"/>
          <w:lang w:eastAsia="en-US"/>
        </w:rPr>
        <w:t>Údaje nejsou</w:t>
      </w:r>
      <w:r w:rsidR="00431E52" w:rsidRPr="00F13311">
        <w:rPr>
          <w:rFonts w:asciiTheme="minorHAnsi" w:eastAsiaTheme="minorHAnsi" w:hAnsiTheme="minorHAnsi" w:cstheme="minorBidi"/>
          <w:lang w:eastAsia="en-US"/>
        </w:rPr>
        <w:t xml:space="preserve"> auditované. Odborníci provádějící průzkum zahrnují společníky a analytiky.  Jakákoli prohlášení či vyjádření učiněná v tomto dokumentu nejsou pro společnost Fidelity nebo příjemce právně závazná. Jakýkoli </w:t>
      </w:r>
      <w:r w:rsidR="00431E52" w:rsidRPr="00F13311">
        <w:rPr>
          <w:rFonts w:asciiTheme="minorHAnsi" w:eastAsiaTheme="minorHAnsi" w:hAnsiTheme="minorHAnsi" w:cstheme="minorBidi"/>
          <w:lang w:eastAsia="en-US"/>
        </w:rPr>
        <w:lastRenderedPageBreak/>
        <w:t>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w:t>
      </w:r>
    </w:p>
    <w:p w14:paraId="122791D4" w14:textId="1FB9F274" w:rsidR="00431E52" w:rsidRPr="00F13311" w:rsidRDefault="00431E52" w:rsidP="00431E52">
      <w:pPr>
        <w:pStyle w:val="Normlnweb"/>
        <w:shd w:val="clear" w:color="auto" w:fill="FFFFFF"/>
        <w:spacing w:before="0"/>
        <w:rPr>
          <w:rFonts w:asciiTheme="minorHAnsi" w:eastAsiaTheme="minorHAnsi" w:hAnsiTheme="minorHAnsi" w:cstheme="minorBidi"/>
          <w:lang w:eastAsia="en-US"/>
        </w:rPr>
      </w:pPr>
      <w:r w:rsidRPr="00F13311">
        <w:rPr>
          <w:rFonts w:asciiTheme="minorHAnsi" w:eastAsiaTheme="minorHAnsi" w:hAnsiTheme="minorHAnsi" w:cstheme="minorBidi"/>
          <w:lang w:eastAsia="en-US"/>
        </w:rPr>
        <w:t xml:space="preserve"> https://www.fidelityinternational.com nebo od našich distributořů a našeho evropského Centra služeb v Lucembursku, sídlící na adrese FIL (Luxembourg) S.A. 2a, rue Albert Borschette BP 2174 L-1021 Luxembourg.</w:t>
      </w:r>
      <w:r>
        <w:rPr>
          <w:rFonts w:asciiTheme="minorHAnsi" w:eastAsiaTheme="minorHAnsi" w:hAnsiTheme="minorHAnsi" w:cstheme="minorBidi"/>
          <w:lang w:eastAsia="en-US"/>
        </w:rPr>
        <w:br/>
      </w:r>
    </w:p>
    <w:p w14:paraId="27F057F6" w14:textId="77777777" w:rsidR="001B2BE9" w:rsidRDefault="00431E52" w:rsidP="00431E52">
      <w:pPr>
        <w:pStyle w:val="Normlnweb"/>
        <w:shd w:val="clear" w:color="auto" w:fill="FFFFFF"/>
        <w:spacing w:before="0"/>
        <w:rPr>
          <w:rFonts w:asciiTheme="minorHAnsi" w:eastAsiaTheme="minorHAnsi" w:hAnsiTheme="minorHAnsi" w:cstheme="minorBidi"/>
          <w:lang w:eastAsia="en-US"/>
        </w:rPr>
      </w:pPr>
      <w:r w:rsidRPr="00F13311">
        <w:rPr>
          <w:rFonts w:asciiTheme="minorHAnsi" w:eastAsiaTheme="minorHAnsi" w:hAnsiTheme="minorHAnsi" w:cstheme="minorBidi"/>
          <w:lang w:eastAsia="en-US"/>
        </w:rP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w:t>
      </w:r>
      <w:r>
        <w:rPr>
          <w:rFonts w:asciiTheme="minorHAnsi" w:eastAsiaTheme="minorHAnsi" w:hAnsiTheme="minorHAnsi" w:cstheme="minorBidi"/>
          <w:lang w:eastAsia="en-US"/>
        </w:rPr>
        <w:t xml:space="preserve"> </w:t>
      </w:r>
    </w:p>
    <w:p w14:paraId="3880381B" w14:textId="4A6B4D56" w:rsidR="00431E52" w:rsidRPr="00F13311" w:rsidRDefault="00431E52" w:rsidP="00431E52">
      <w:pPr>
        <w:pStyle w:val="Normlnweb"/>
        <w:shd w:val="clear" w:color="auto" w:fill="FFFFFF"/>
        <w:spacing w:before="0"/>
        <w:rPr>
          <w:rFonts w:asciiTheme="minorHAnsi" w:eastAsiaTheme="minorHAnsi" w:hAnsiTheme="minorHAnsi" w:cstheme="minorBidi"/>
          <w:lang w:eastAsia="en-US"/>
        </w:rPr>
      </w:pPr>
      <w:r>
        <w:rPr>
          <w:rFonts w:asciiTheme="minorHAnsi" w:eastAsiaTheme="minorHAnsi" w:hAnsiTheme="minorHAnsi" w:cstheme="minorBidi"/>
          <w:lang w:eastAsia="en-US"/>
        </w:rPr>
        <w:br/>
      </w:r>
      <w:r w:rsidRPr="00F13311">
        <w:rPr>
          <w:rFonts w:asciiTheme="minorHAnsi" w:eastAsiaTheme="minorHAnsi" w:hAnsiTheme="minorHAnsi" w:cstheme="minorBidi"/>
          <w:lang w:eastAsia="en-US"/>
        </w:rPr>
        <w:t xml:space="preserve">Vydala společnost FIL (Luxembourg) S.A., které bylo uděleno povolení a podléhá dohledu dozorčí komise CSSF (Commission de Surveillance du Secteur Financier). </w:t>
      </w:r>
    </w:p>
    <w:p w14:paraId="29F5236D" w14:textId="77777777" w:rsidR="00431E52" w:rsidRPr="00FD7966" w:rsidRDefault="00431E52" w:rsidP="00431E52">
      <w:pPr>
        <w:pStyle w:val="Normlnweb"/>
        <w:shd w:val="clear" w:color="auto" w:fill="FFFFFF"/>
        <w:spacing w:before="0"/>
        <w:rPr>
          <w:rFonts w:asciiTheme="minorHAnsi" w:eastAsiaTheme="minorHAnsi" w:hAnsiTheme="minorHAnsi" w:cstheme="minorBidi"/>
          <w:lang w:eastAsia="en-US"/>
        </w:rPr>
      </w:pPr>
      <w:r w:rsidRPr="00F13311">
        <w:rPr>
          <w:rFonts w:asciiTheme="minorHAnsi" w:eastAsiaTheme="minorHAnsi" w:hAnsiTheme="minorHAnsi" w:cstheme="minorBidi"/>
          <w:lang w:eastAsia="en-US"/>
        </w:rPr>
        <w:t>Investoři a potenciální investoři mohou získat informace o svých právech ve spojení se stížnostmi a soudními spory na tomto odkazu: https://www.fidelity.cz (v češtině).</w:t>
      </w:r>
    </w:p>
    <w:p w14:paraId="3C5CC83E" w14:textId="77777777" w:rsidR="00431E52" w:rsidRDefault="00431E52" w:rsidP="00431E52"/>
    <w:p w14:paraId="4E7ABC7A" w14:textId="77777777" w:rsidR="00431E52" w:rsidRPr="00D47B9F" w:rsidRDefault="00431E52" w:rsidP="00431E52">
      <w:r w:rsidRPr="00D47B9F">
        <w:t>ED21-144</w:t>
      </w:r>
    </w:p>
    <w:p w14:paraId="559D78E0" w14:textId="77777777" w:rsidR="00431E52" w:rsidRPr="00D47B9F" w:rsidRDefault="00431E52" w:rsidP="00431E52">
      <w:r w:rsidRPr="00D47B9F">
        <w:rPr>
          <w:lang w:val="de-AT"/>
        </w:rPr>
        <w:t>MKAT10</w:t>
      </w:r>
      <w:r>
        <w:rPr>
          <w:lang w:val="de-AT"/>
        </w:rPr>
        <w:t>211</w:t>
      </w:r>
    </w:p>
    <w:p w14:paraId="1532FA13" w14:textId="77777777" w:rsidR="00431E52" w:rsidRDefault="00431E52" w:rsidP="00431E52"/>
    <w:p w14:paraId="39EC9214" w14:textId="77777777" w:rsidR="00431E52" w:rsidRPr="00431E52" w:rsidRDefault="00431E52" w:rsidP="00431E52">
      <w:pPr>
        <w:pStyle w:val="F2-zkladn"/>
      </w:pPr>
    </w:p>
    <w:p w14:paraId="74B02AAB" w14:textId="77777777" w:rsidR="00B134B6" w:rsidRDefault="00B134B6" w:rsidP="00C16BE6">
      <w:pPr>
        <w:pStyle w:val="F2-zkladn"/>
        <w:rPr>
          <w:b/>
        </w:rPr>
      </w:pPr>
    </w:p>
    <w:p w14:paraId="35ECAAA5" w14:textId="77777777" w:rsidR="00B134B6" w:rsidRDefault="00B134B6" w:rsidP="00C16BE6">
      <w:pPr>
        <w:pStyle w:val="F2-zkladn"/>
        <w:rPr>
          <w:b/>
        </w:rPr>
      </w:pPr>
    </w:p>
    <w:p w14:paraId="4251B95B" w14:textId="2561D9C9" w:rsidR="00C16BE6" w:rsidRPr="00455A3C" w:rsidRDefault="00C16BE6" w:rsidP="00C16BE6">
      <w:pPr>
        <w:pStyle w:val="F2-zkladn"/>
        <w:rPr>
          <w:b/>
        </w:rPr>
      </w:pPr>
      <w:r w:rsidRPr="00455A3C">
        <w:rPr>
          <w:b/>
        </w:rPr>
        <w:t>Informace pro editory:</w:t>
      </w:r>
    </w:p>
    <w:p w14:paraId="5440B2B9" w14:textId="5F410952" w:rsidR="00C16BE6" w:rsidRPr="00EB4C4B" w:rsidRDefault="00C16BE6" w:rsidP="00EB4C4B">
      <w:pPr>
        <w:shd w:val="clear" w:color="auto" w:fill="FFFFFF"/>
        <w:spacing w:before="100" w:beforeAutospacing="1" w:after="100" w:afterAutospacing="1" w:line="276" w:lineRule="auto"/>
        <w:rPr>
          <w:rFonts w:eastAsia="Calibri"/>
          <w:lang w:eastAsia="en-US"/>
        </w:rPr>
      </w:pPr>
      <w:r w:rsidRPr="00EB4C4B">
        <w:rPr>
          <w:b/>
        </w:rPr>
        <w:t xml:space="preserve">Fidelity International </w:t>
      </w:r>
      <w:r w:rsidRPr="00EB4C4B">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w:t>
      </w:r>
      <w:r w:rsidRPr="00EB4C4B">
        <w:rPr>
          <w:rFonts w:eastAsia="Calibri"/>
          <w:lang w:eastAsia="en-US"/>
        </w:rPr>
        <w:t xml:space="preserve">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511534CE" w14:textId="77777777" w:rsidR="00C16BE6" w:rsidRPr="00EB4C4B" w:rsidRDefault="00C16BE6" w:rsidP="00EB4C4B">
      <w:pPr>
        <w:pStyle w:val="F2-zkladn"/>
        <w:spacing w:line="276" w:lineRule="auto"/>
        <w:rPr>
          <w:b/>
        </w:rPr>
      </w:pPr>
      <w:r w:rsidRPr="00EB4C4B">
        <w:rPr>
          <w:b/>
        </w:rPr>
        <w:t>Upozornění na rizika</w:t>
      </w:r>
    </w:p>
    <w:p w14:paraId="35979542" w14:textId="77777777" w:rsidR="00C16BE6" w:rsidRPr="00EB4C4B" w:rsidRDefault="00C16BE6" w:rsidP="00EB4C4B">
      <w:pPr>
        <w:pStyle w:val="F2-zkladn"/>
        <w:spacing w:line="276" w:lineRule="auto"/>
      </w:pPr>
      <w:r w:rsidRPr="00EB4C4B">
        <w:lastRenderedPageBreak/>
        <w:t>Fidelity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o nejnovější půlroční zprávu. Tyto dokumenty tvoří jediný závazný základ pro nákup. Tyto dokumenty získáte bezplatně v pobočce FIL Investment Services GmbH, Kastanienhöhe 1, D-61476 Kronberg im Taunus, Německo, nebo v UniCredit Bank Austria AG, Vordere Zollamtstrasse 13, A-1030 Vídeň, nebo v UniCredit Bank Slovakia, a. s., Šancova 1/A, 813 33 Bratislava, nebo v Unicredit Bank Czech Republic, a. s., náměstí Republiky 3a, 111 21 Praha 1, nebo na adresách www.fidelity.at, www.fidelity.cz, www.fidelity.sk.</w:t>
      </w:r>
    </w:p>
    <w:p w14:paraId="1345D753" w14:textId="77777777" w:rsidR="00202F64" w:rsidRDefault="00202F64" w:rsidP="00EB4C4B">
      <w:pPr>
        <w:pStyle w:val="F2-zkladn"/>
        <w:spacing w:line="276" w:lineRule="auto"/>
        <w:rPr>
          <w:b/>
        </w:rPr>
      </w:pPr>
    </w:p>
    <w:p w14:paraId="79625687" w14:textId="77777777" w:rsidR="00C16BE6" w:rsidRPr="00EB4C4B" w:rsidRDefault="00C16BE6" w:rsidP="00EB4C4B">
      <w:pPr>
        <w:pStyle w:val="F2-zkladn"/>
        <w:spacing w:line="276" w:lineRule="auto"/>
        <w:rPr>
          <w:b/>
        </w:rPr>
      </w:pPr>
      <w:r w:rsidRPr="00EB4C4B">
        <w:rPr>
          <w:b/>
        </w:rPr>
        <w:t>Vydává</w:t>
      </w:r>
    </w:p>
    <w:p w14:paraId="4C9E6EE8" w14:textId="77777777" w:rsidR="00C16BE6" w:rsidRPr="00EB4C4B" w:rsidRDefault="00C16BE6" w:rsidP="00EB4C4B">
      <w:pPr>
        <w:pStyle w:val="F2-zkladn"/>
        <w:spacing w:line="276" w:lineRule="auto"/>
        <w:rPr>
          <w:b/>
        </w:rPr>
      </w:pPr>
      <w:r w:rsidRPr="00EB4C4B">
        <w:t xml:space="preserve">FIL (Luxembourg) S.A. Zweigniederlassung Wien, Mariahilfer Straße 36, 1070 Vídeň, IČO: FN 374007 </w:t>
      </w:r>
    </w:p>
    <w:p w14:paraId="7511897A" w14:textId="77777777" w:rsidR="00A7414F" w:rsidRPr="00EB4C4B" w:rsidRDefault="00C16BE6" w:rsidP="00EB4C4B">
      <w:pPr>
        <w:pStyle w:val="F2-zkladn"/>
        <w:spacing w:line="276" w:lineRule="auto"/>
      </w:pPr>
      <w:r w:rsidRPr="00EB4C4B">
        <w:t>Fidelity, Fidelity International, logo Fidelity International a symbol F jsou registrované ochranné známky společnosti FIL Limited.</w:t>
      </w:r>
    </w:p>
    <w:p w14:paraId="3CD40D4C" w14:textId="77777777"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Notes to editors</w:t>
      </w:r>
    </w:p>
    <w:p w14:paraId="2E0EFFBE"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Fidelity UCITS II ICAV is registered in Ireland pursuant to the Irish Collective Asset-management Vehicles Act 2015 and is authorised by the Central Bank of Ireland as a UCITS.</w:t>
      </w:r>
    </w:p>
    <w:p w14:paraId="1075DB6A"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Fidelity only offers information on products and services and does not provide investment advice based on individual circumstances, other than when specifically stipulated by an appropriately authorised firm, in a formal communication with the client.</w:t>
      </w:r>
    </w:p>
    <w:p w14:paraId="146F3E9D"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Fidelity International refers to the group of companies which form the global investment management organisation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authorised for distribution or where no such authorisation is required.</w:t>
      </w:r>
    </w:p>
    <w:p w14:paraId="0AC1BCFE"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457C1957"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b/>
          <w:bCs/>
          <w:color w:val="000000"/>
        </w:rPr>
        <w:t>We recommend that you obtain detailed information before taking any investment decision.</w:t>
      </w:r>
      <w:r w:rsidRPr="00EB4C4B">
        <w:rPr>
          <w:color w:val="000000"/>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EB4C4B">
        <w:rPr>
          <w:b/>
          <w:bCs/>
          <w:color w:val="000000"/>
        </w:rPr>
        <w:t>European Service Centre in Luxembourg</w:t>
      </w:r>
      <w:r w:rsidRPr="00EB4C4B">
        <w:rPr>
          <w:color w:val="000000"/>
        </w:rPr>
        <w:t>, FIL (Luxembourg) S.A. 2a, rue Albert Borschette BP 2174 L-1021 Luxembourg. </w:t>
      </w:r>
      <w:r w:rsidRPr="00EB4C4B">
        <w:rPr>
          <w:b/>
          <w:bCs/>
          <w:color w:val="000000"/>
        </w:rPr>
        <w:t>Austria</w:t>
      </w:r>
      <w:r w:rsidRPr="00EB4C4B">
        <w:rPr>
          <w:color w:val="000000"/>
        </w:rPr>
        <w:t>: Our Austrian paying agent UniCredit Bank Austria AG, Schottengasse 6-8, 1010 Vienna, Austria or on www.fidelity.at. </w:t>
      </w:r>
      <w:r w:rsidRPr="00EB4C4B">
        <w:rPr>
          <w:b/>
          <w:bCs/>
          <w:color w:val="000000"/>
        </w:rPr>
        <w:t>Czech Republic</w:t>
      </w:r>
      <w:r w:rsidRPr="00EB4C4B">
        <w:rPr>
          <w:color w:val="000000"/>
        </w:rPr>
        <w:t>: Our Paying agent UniCredit Bank Czech Republic a.s., Zeletavska 1525/1, 14092 Prag 4 - Michle, Czech Republic. The KIID is available in Czech language. </w:t>
      </w:r>
      <w:r w:rsidRPr="00EB4C4B">
        <w:rPr>
          <w:b/>
          <w:bCs/>
          <w:color w:val="000000"/>
        </w:rPr>
        <w:t>France:</w:t>
      </w:r>
      <w:r w:rsidRPr="00EB4C4B">
        <w:rPr>
          <w:color w:val="000000"/>
        </w:rPr>
        <w:t> FIL Gestion, authorised and supervised by the AMF (Autorité des Marchés Financiers) N°GP03-004, 29 rue de Berri, 75008 Paris. The document is available in French upon request. </w:t>
      </w:r>
      <w:r w:rsidRPr="00EB4C4B">
        <w:rPr>
          <w:b/>
          <w:bCs/>
          <w:color w:val="000000"/>
        </w:rPr>
        <w:t>Germany:</w:t>
      </w:r>
      <w:r w:rsidRPr="00EB4C4B">
        <w:rPr>
          <w:color w:val="000000"/>
        </w:rPr>
        <w:t> FIL Investment Services GmbH, Postfach 200237, 60606 Frankfurt/Main or www.fidelity.de. </w:t>
      </w:r>
      <w:r w:rsidRPr="00EB4C4B">
        <w:rPr>
          <w:b/>
          <w:bCs/>
          <w:color w:val="000000"/>
        </w:rPr>
        <w:t>Hungary</w:t>
      </w:r>
      <w:r w:rsidRPr="00EB4C4B">
        <w:rPr>
          <w:color w:val="000000"/>
        </w:rPr>
        <w:t>: Raiffeisen Zentralbank Österreich AG, Akademia u. 6, 1054 Budapest. The KIID is available in Hungarian language. </w:t>
      </w:r>
      <w:r w:rsidRPr="00EB4C4B">
        <w:rPr>
          <w:b/>
          <w:bCs/>
          <w:color w:val="000000"/>
        </w:rPr>
        <w:t>Netherlands</w:t>
      </w:r>
      <w:r w:rsidRPr="00EB4C4B">
        <w:rPr>
          <w:color w:val="000000"/>
        </w:rPr>
        <w:t>: FIL (Luxembourg) S.A., Netherlands Branch (registered with the AFM), World Trade Centre, Tower H, 6th Floor, Zuidplein 52, 1077 XV Amsterdam (tel. 0031 20 79 77 100). </w:t>
      </w:r>
      <w:r w:rsidRPr="00EB4C4B">
        <w:rPr>
          <w:b/>
          <w:bCs/>
          <w:color w:val="000000"/>
        </w:rPr>
        <w:t>Poland</w:t>
      </w:r>
      <w:r w:rsidRPr="00EB4C4B">
        <w:rPr>
          <w:color w:val="000000"/>
        </w:rPr>
        <w:t>:</w:t>
      </w:r>
      <w:r w:rsidRPr="00EB4C4B">
        <w:rPr>
          <w:b/>
          <w:bCs/>
          <w:color w:val="000000"/>
        </w:rPr>
        <w:t> </w:t>
      </w:r>
      <w:r w:rsidRPr="00EB4C4B">
        <w:rPr>
          <w:color w:val="000000"/>
        </w:rPr>
        <w:t>Our representative office in Poland or on www.fidelity.pl. The Additional Information for Investors is available upon request. </w:t>
      </w:r>
      <w:r w:rsidRPr="00EB4C4B">
        <w:rPr>
          <w:b/>
          <w:bCs/>
          <w:color w:val="000000"/>
        </w:rPr>
        <w:t>Slovakia:</w:t>
      </w:r>
      <w:r w:rsidRPr="00EB4C4B">
        <w:rPr>
          <w:color w:val="000000"/>
        </w:rPr>
        <w:t> Our paying agent UniCredit Bank Slovakia, a.s., Sancova 1/A 81333, Slovakia. The KIID is available in Slovak language.</w:t>
      </w:r>
    </w:p>
    <w:p w14:paraId="44E4F9DE" w14:textId="77777777" w:rsidR="00A82FF0" w:rsidRPr="00EB4C4B" w:rsidRDefault="00A82FF0" w:rsidP="00EB4C4B">
      <w:pPr>
        <w:shd w:val="clear" w:color="auto" w:fill="FFFFFF"/>
        <w:spacing w:before="0" w:line="276" w:lineRule="auto"/>
        <w:rPr>
          <w:rFonts w:ascii="Calibri" w:hAnsi="Calibri" w:cs="Times New Roman"/>
          <w:color w:val="000000"/>
        </w:rPr>
      </w:pPr>
      <w:r w:rsidRPr="00EB4C4B">
        <w:rPr>
          <w:color w:val="000000"/>
        </w:rPr>
        <w:lastRenderedPageBreak/>
        <w:t>Issued by: FIL (Luxembourg) S.A., authorised and supervised by the CSSF (Commission de</w:t>
      </w:r>
    </w:p>
    <w:p w14:paraId="1F529CA2" w14:textId="77777777" w:rsidR="00A7414F" w:rsidRPr="00EB4C4B" w:rsidRDefault="00A82FF0" w:rsidP="00EB4C4B">
      <w:pPr>
        <w:shd w:val="clear" w:color="auto" w:fill="FFFFFF"/>
        <w:spacing w:before="0" w:line="276" w:lineRule="auto"/>
        <w:rPr>
          <w:color w:val="000000"/>
        </w:rPr>
      </w:pPr>
      <w:r w:rsidRPr="00EB4C4B">
        <w:rPr>
          <w:color w:val="000000"/>
        </w:rPr>
        <w:t>Surveillance du Secteur Financier) / FIL Gestion, authorised and supervised by the AMF (Autorité des Marchés Financiers) / FIL Investments Services GmbH.</w:t>
      </w:r>
    </w:p>
    <w:p w14:paraId="3F4FA44E" w14:textId="77777777" w:rsidR="00A7414F" w:rsidRPr="00EB4C4B" w:rsidRDefault="00A7414F" w:rsidP="00EB4C4B">
      <w:pPr>
        <w:pStyle w:val="F2-zkladn"/>
        <w:spacing w:line="276" w:lineRule="auto"/>
        <w:rPr>
          <w:b/>
          <w:bCs/>
        </w:rPr>
      </w:pPr>
      <w:r w:rsidRPr="00EB4C4B">
        <w:rPr>
          <w:b/>
          <w:bCs/>
        </w:rPr>
        <w:t>Disclaimer</w:t>
      </w:r>
    </w:p>
    <w:p w14:paraId="6D5F19AD" w14:textId="77777777" w:rsidR="00EB4C4B" w:rsidRPr="00EB4C4B" w:rsidRDefault="00A7414F" w:rsidP="00EB4C4B">
      <w:pPr>
        <w:pStyle w:val="F2-zkladn"/>
        <w:spacing w:line="276" w:lineRule="auto"/>
        <w:rPr>
          <w:color w:val="000000"/>
        </w:rPr>
      </w:pPr>
      <w:r w:rsidRPr="00EB4C4B">
        <w:rPr>
          <w:color w:val="000000"/>
        </w:rPr>
        <w:t xml:space="preserve">Fidelity only offers information on products and services and does not provide investment advice based on individual circumstances, other than when specifically stipulated by an appropriately authorised firm, in a formal communication with the client. </w:t>
      </w:r>
    </w:p>
    <w:p w14:paraId="7468FDC7" w14:textId="77777777" w:rsidR="00EB4C4B" w:rsidRPr="00EB4C4B" w:rsidRDefault="00A7414F" w:rsidP="00EB4C4B">
      <w:pPr>
        <w:pStyle w:val="F2-zkladn"/>
        <w:spacing w:line="276" w:lineRule="auto"/>
        <w:rPr>
          <w:color w:val="000000"/>
        </w:rPr>
      </w:pPr>
      <w:r w:rsidRPr="00EB4C4B">
        <w:rPr>
          <w:color w:val="000000"/>
        </w:rPr>
        <w:t>Fidelity International refers to the group of companies which form the global investment management organisation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authorised for distribution or where no such authorisation is required.</w:t>
      </w:r>
      <w:r w:rsidR="00EB4C4B" w:rsidRPr="00EB4C4B">
        <w:rPr>
          <w:color w:val="000000"/>
        </w:rPr>
        <w:t xml:space="preserve"> </w:t>
      </w:r>
    </w:p>
    <w:p w14:paraId="7ADCA5EA" w14:textId="77777777" w:rsidR="00A7414F" w:rsidRPr="00EB4C4B" w:rsidRDefault="00A7414F" w:rsidP="00EB4C4B">
      <w:pPr>
        <w:pStyle w:val="F2-zkladn"/>
        <w:spacing w:line="276" w:lineRule="auto"/>
        <w:rPr>
          <w:color w:val="000000"/>
        </w:rPr>
      </w:pPr>
      <w:r w:rsidRPr="00EB4C4B">
        <w:rPr>
          <w:color w:val="000000"/>
        </w:rPr>
        <w:t xml:space="preserve">Unless otherwise stated all products and services are provided by Fidelity International, and all views expressed are those of Fidelity International. Fidelity, Fidelity International, the Fidelity International logo and F symbol are registered trademarks of FIL Limited. </w:t>
      </w:r>
    </w:p>
    <w:p w14:paraId="7DD5EE20" w14:textId="77777777" w:rsidR="00A7414F" w:rsidRPr="00EB4C4B" w:rsidRDefault="00A7414F" w:rsidP="00EB4C4B">
      <w:pPr>
        <w:pStyle w:val="F2-zkladn"/>
        <w:spacing w:line="276" w:lineRule="auto"/>
        <w:rPr>
          <w:color w:val="000000"/>
        </w:rPr>
      </w:pPr>
      <w:r w:rsidRPr="00EB4C4B">
        <w:rPr>
          <w:color w:val="000000"/>
        </w:rPr>
        <w:t>Czech Republic:  Investments should be made on the basis of the current prospectus and KIID (key investor information document), which is available along with the current annual and semi-annual reports free of charge from our distributors, from our European Service Centre in Luxembourg, FIL (Luxembourg) S.A. 2a, rue Albert Borschette BP 2174 L-1021 Luxembourg and from our paying agent UniCredit Bank Czech Republic a.s., Zeletavska 1525/1, 14092 Prag</w:t>
      </w:r>
      <w:r w:rsidR="004C3BA7" w:rsidRPr="00EB4C4B">
        <w:rPr>
          <w:color w:val="000000"/>
        </w:rPr>
        <w:t>ue</w:t>
      </w:r>
      <w:r w:rsidRPr="00EB4C4B">
        <w:rPr>
          <w:color w:val="000000"/>
        </w:rPr>
        <w:t xml:space="preserve"> 4 - Michle, Czech Republic. The KIID is available in Czech language.</w:t>
      </w:r>
    </w:p>
    <w:p w14:paraId="131D4607" w14:textId="77777777" w:rsidR="00A7414F" w:rsidRPr="00EB4C4B" w:rsidRDefault="00A7414F" w:rsidP="00EB4C4B">
      <w:pPr>
        <w:pStyle w:val="F2-zkladn"/>
        <w:spacing w:line="276" w:lineRule="auto"/>
        <w:rPr>
          <w:color w:val="000000"/>
        </w:rPr>
      </w:pPr>
    </w:p>
    <w:sectPr w:rsidR="00A7414F" w:rsidRPr="00EB4C4B"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A478" w14:textId="77777777" w:rsidR="00296721" w:rsidRDefault="00296721">
      <w:r>
        <w:separator/>
      </w:r>
    </w:p>
  </w:endnote>
  <w:endnote w:type="continuationSeparator" w:id="0">
    <w:p w14:paraId="11A71449" w14:textId="77777777" w:rsidR="00296721" w:rsidRDefault="0029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B2CE" w14:textId="77777777" w:rsidR="00296721" w:rsidRDefault="00296721">
      <w:r>
        <w:separator/>
      </w:r>
    </w:p>
  </w:footnote>
  <w:footnote w:type="continuationSeparator" w:id="0">
    <w:p w14:paraId="42339495" w14:textId="77777777" w:rsidR="00296721" w:rsidRDefault="00296721">
      <w:r>
        <w:continuationSeparator/>
      </w:r>
    </w:p>
  </w:footnote>
  <w:footnote w:type="continuationNotice" w:id="1">
    <w:p w14:paraId="2C2254FB" w14:textId="77777777" w:rsidR="00296721" w:rsidRDefault="00296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476B"/>
    <w:rsid w:val="001E507C"/>
    <w:rsid w:val="001E57AB"/>
    <w:rsid w:val="001E67FF"/>
    <w:rsid w:val="001F4B06"/>
    <w:rsid w:val="001F627F"/>
    <w:rsid w:val="002006D5"/>
    <w:rsid w:val="00201CD7"/>
    <w:rsid w:val="00202F64"/>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CF3"/>
    <w:rsid w:val="00794E4C"/>
    <w:rsid w:val="007A0160"/>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1B11"/>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4103"/>
    <w:rsid w:val="00B047E9"/>
    <w:rsid w:val="00B05867"/>
    <w:rsid w:val="00B10EC0"/>
    <w:rsid w:val="00B123FF"/>
    <w:rsid w:val="00B134B6"/>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57C8"/>
    <w:rsid w:val="00BD5879"/>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kroh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48BC-A7D4-4E76-838B-BC5FA876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2063</Words>
  <Characters>12710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14744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6</cp:revision>
  <cp:lastPrinted>2015-11-30T16:29:00Z</cp:lastPrinted>
  <dcterms:created xsi:type="dcterms:W3CDTF">2021-12-20T12:58:00Z</dcterms:created>
  <dcterms:modified xsi:type="dcterms:W3CDTF">2021-12-20T13:10:00Z</dcterms:modified>
</cp:coreProperties>
</file>